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亞洲家族辦公室協會</w:t>
      </w:r>
    </w:p>
    <w:p w:rsidR="00000000" w:rsidDel="00000000" w:rsidP="00000000" w:rsidRDefault="00000000" w:rsidRPr="00000000" w14:paraId="00000002">
      <w:pPr>
        <w:pStyle w:val="Title"/>
        <w:rPr>
          <w:rFonts w:ascii="Microsoft JhengHei UI" w:cs="Microsoft JhengHei UI" w:eastAsia="Microsoft JhengHei UI" w:hAnsi="Microsoft JhengHei UI"/>
          <w:color w:val="000000"/>
          <w:sz w:val="30"/>
          <w:szCs w:val="30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sz w:val="30"/>
          <w:szCs w:val="30"/>
          <w:rtl w:val="0"/>
        </w:rPr>
        <w:t xml:space="preserve">Association of Family offices in asia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  <w:rtl w:val="0"/>
        </w:rPr>
        <w:t xml:space="preserve">家族辦公室會員 / 夥伴 信息表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  <w:rtl w:val="0"/>
        </w:rPr>
        <w:t xml:space="preserve">Member / Connector Information</w:t>
      </w:r>
    </w:p>
    <w:tbl>
      <w:tblPr>
        <w:tblStyle w:val="Table1"/>
        <w:tblW w:w="9435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200"/>
      </w:tblPr>
      <w:tblGrid>
        <w:gridCol w:w="1650"/>
        <w:gridCol w:w="3105"/>
        <w:gridCol w:w="1920"/>
        <w:gridCol w:w="2760"/>
        <w:tblGridChange w:id="0">
          <w:tblGrid>
            <w:gridCol w:w="1650"/>
            <w:gridCol w:w="3105"/>
            <w:gridCol w:w="1920"/>
            <w:gridCol w:w="2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客戶名稱</w:t>
            </w:r>
          </w:p>
          <w:p w:rsidR="00000000" w:rsidDel="00000000" w:rsidP="00000000" w:rsidRDefault="00000000" w:rsidRPr="00000000" w14:paraId="00000007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Organization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提名者，如適用</w:t>
            </w:r>
          </w:p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Nominator, if applicable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單一家族辦公室類別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SFO Category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由會員提名   Nominate By Member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由理事會提名 Nominate By Council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經營地點</w: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Operating Place</w:t>
            </w:r>
          </w:p>
        </w:tc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Mainland China 中國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Offshore China港澳台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Asia Ex China亞洲非中國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Europe歐洲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North America北美地區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 Emerging Market新興市場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夥伴關係類別</w:t>
            </w:r>
          </w:p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Connector Category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聯合家辦 MFO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家辦專家 Specialist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共同投资者CoInvestor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協會 / 解決方案供應商Association / Solution Vendor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網址</w:t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URL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會員期限</w:t>
            </w:r>
          </w:p>
          <w:p w:rsidR="00000000" w:rsidDel="00000000" w:rsidP="00000000" w:rsidRDefault="00000000" w:rsidRPr="00000000" w14:paraId="00000025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Membership Term</w:t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終身會員</w:t>
            </w:r>
            <w:r w:rsidDel="00000000" w:rsidR="00000000" w:rsidRPr="00000000">
              <w:rPr>
                <w:rFonts w:ascii="Wingdings 2" w:cs="Wingdings 2" w:eastAsia="Wingdings 2" w:hAnsi="Wingdings 2"/>
                <w:color w:val="000000"/>
                <w:rtl w:val="0"/>
              </w:rPr>
              <w:t xml:space="preserve">•</w:t>
            </w: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 Life Member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spacing w:after="0" w:before="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每兩年更新一次Renew Every 2 Year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聯繫人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公司決策者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Firm Decision Makers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電郵地址</w:t>
            </w:r>
          </w:p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Email 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電郵地址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電話號碼</w:t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電話號碼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地址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Address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Link For Profile</w:t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会员资料的文件链接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我們接受在網站上公佈的 </w:t>
      </w:r>
      <w:hyperlink r:id="rId6">
        <w:r w:rsidDel="00000000" w:rsidR="00000000" w:rsidRPr="00000000">
          <w:rPr>
            <w:rFonts w:ascii="Microsoft JhengHei UI" w:cs="Microsoft JhengHei UI" w:eastAsia="Microsoft JhengHei UI" w:hAnsi="Microsoft JhengHei UI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會員條款</w:t>
        </w:r>
      </w:hyperlink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，請處理申請和費用付款。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We accept the </w:t>
      </w:r>
      <w:hyperlink r:id="rId7">
        <w:r w:rsidDel="00000000" w:rsidR="00000000" w:rsidRPr="00000000">
          <w:rPr>
            <w:rFonts w:ascii="Microsoft JhengHei UI" w:cs="Microsoft JhengHei UI" w:eastAsia="Microsoft JhengHei UI" w:hAnsi="Microsoft JhengHei UI"/>
            <w:b w:val="0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membership terms</w:t>
        </w:r>
      </w:hyperlink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as published </w:t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on the website</w:t>
      </w:r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please </w:t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proceed with the</w:t>
      </w:r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application </w:t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&amp;</w:t>
      </w:r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payment debit.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Company Chop</w:t>
        <w:tab/>
        <w:tab/>
        <w:tab/>
        <w:t xml:space="preserve">Company Authorized Person’s Signature</w:t>
        <w:tab/>
        <w:tab/>
        <w:tab/>
        <w:t xml:space="preserve">Sign Date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Title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亞洲聯合投資者俱樂部 - 在線門戶服務</w:t>
      </w:r>
    </w:p>
    <w:p w:rsidR="00000000" w:rsidDel="00000000" w:rsidP="00000000" w:rsidRDefault="00000000" w:rsidRPr="00000000" w14:paraId="00000057">
      <w:pPr>
        <w:pStyle w:val="Title"/>
        <w:rPr>
          <w:rFonts w:ascii="Microsoft JhengHei UI" w:cs="Microsoft JhengHei UI" w:eastAsia="Microsoft JhengHei UI" w:hAnsi="Microsoft JhengHei UI"/>
          <w:color w:val="000000"/>
          <w:sz w:val="30"/>
          <w:szCs w:val="30"/>
        </w:rPr>
      </w:pPr>
      <w:bookmarkStart w:colFirst="0" w:colLast="0" w:name="_mfi1x9d65x2a" w:id="1"/>
      <w:bookmarkEnd w:id="1"/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sz w:val="30"/>
          <w:szCs w:val="30"/>
          <w:rtl w:val="0"/>
        </w:rPr>
        <w:t xml:space="preserve">Asia co-investors club - portal access </w:t>
      </w:r>
    </w:p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  <w:rtl w:val="0"/>
        </w:rPr>
        <w:t xml:space="preserve">服務申請 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b w:val="1"/>
          <w:color w:val="000000"/>
          <w:sz w:val="24"/>
          <w:szCs w:val="24"/>
          <w:rtl w:val="0"/>
        </w:rPr>
        <w:t xml:space="preserve">Service Application</w:t>
      </w:r>
    </w:p>
    <w:tbl>
      <w:tblPr>
        <w:tblStyle w:val="Table2"/>
        <w:tblW w:w="9442.0" w:type="dxa"/>
        <w:jc w:val="left"/>
        <w:tblInd w:w="0.0" w:type="dxa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200"/>
      </w:tblPr>
      <w:tblGrid>
        <w:gridCol w:w="2017"/>
        <w:gridCol w:w="2310"/>
        <w:gridCol w:w="1965"/>
        <w:gridCol w:w="3150"/>
        <w:tblGridChange w:id="0">
          <w:tblGrid>
            <w:gridCol w:w="2017"/>
            <w:gridCol w:w="2310"/>
            <w:gridCol w:w="1965"/>
            <w:gridCol w:w="3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申请成为俱乐部会员Join As Club Member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Microsoft JhengHei UI" w:cs="Microsoft JhengHei UI" w:eastAsia="Microsoft JhengHei UI" w:hAnsi="Microsoft JhengHei UI"/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Join As Club Member and Use Portal</w:t>
            </w:r>
          </w:p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               加入俱乐部会员和使用门户网站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>
                <w:rFonts w:ascii="Microsoft JhengHei UI" w:cs="Microsoft JhengHei UI" w:eastAsia="Microsoft JhengHei UI" w:hAnsi="Microsoft JhengHei UI"/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Join As Guest and Use Portal with limited function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               作为访客加入并使用有限功能的门户</w:t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客戶名稱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Organization Name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spacing w:after="0" w:before="12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12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12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用戶電子郵件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User’s email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120" w:before="12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服務類別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Service Category</w:t>
            </w:r>
          </w:p>
        </w:tc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0" w:afterAutospacing="0" w:line="240" w:lineRule="auto"/>
              <w:ind w:left="720" w:hanging="360"/>
              <w:rPr>
                <w:rFonts w:ascii="Microsoft JhengHei UI" w:cs="Microsoft JhengHei UI" w:eastAsia="Microsoft JhengHei UI" w:hAnsi="Microsoft JhengHei UI"/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標準俱樂部門戶訪問權限Standard Portal Access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spacing w:after="0" w:before="0" w:beforeAutospacing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延伸到全球總裁與財富所有者圈Extend to Global CEOs &amp; Wealth Owners Circle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服務恢復郵件地址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Recovery Email Contact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付款類別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Payment Method</w:t>
            </w:r>
          </w:p>
        </w:tc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6"/>
              </w:numPr>
              <w:spacing w:after="0" w:afterAutospacing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支票 Cheque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6"/>
              </w:numPr>
              <w:spacing w:after="0" w:before="0" w:beforeAutospacing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銀行轉賬/存款 Bank Transfer/Deposit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聯繫人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Contact Person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120" w:before="12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電話號碼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Fonts w:ascii="Microsoft JhengHei UI" w:cs="Microsoft JhengHei UI" w:eastAsia="Microsoft JhengHei UI" w:hAnsi="Microsoft JhengHei UI"/>
                <w:color w:val="000000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120" w:before="120" w:line="240" w:lineRule="auto"/>
              <w:rPr>
                <w:rFonts w:ascii="Microsoft JhengHei UI" w:cs="Microsoft JhengHei UI" w:eastAsia="Microsoft JhengHei UI" w:hAnsi="Microsoft JhengHei U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我們接受在網站上公佈的 </w:t>
      </w:r>
      <w:hyperlink r:id="rId8">
        <w:r w:rsidDel="00000000" w:rsidR="00000000" w:rsidRPr="00000000">
          <w:rPr>
            <w:rFonts w:ascii="Microsoft JhengHei UI" w:cs="Microsoft JhengHei UI" w:eastAsia="Microsoft JhengHei UI" w:hAnsi="Microsoft JhengHei UI"/>
            <w:color w:val="1155cc"/>
            <w:u w:val="single"/>
            <w:rtl w:val="0"/>
          </w:rPr>
          <w:t xml:space="preserve">會員條款</w:t>
        </w:r>
      </w:hyperlink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，請處理申請和費用付款。</w:t>
      </w:r>
    </w:p>
    <w:p w:rsidR="00000000" w:rsidDel="00000000" w:rsidP="00000000" w:rsidRDefault="00000000" w:rsidRPr="00000000" w14:paraId="00000085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We accept the </w:t>
      </w:r>
      <w:hyperlink r:id="rId9">
        <w:r w:rsidDel="00000000" w:rsidR="00000000" w:rsidRPr="00000000">
          <w:rPr>
            <w:rFonts w:ascii="Microsoft JhengHei UI" w:cs="Microsoft JhengHei UI" w:eastAsia="Microsoft JhengHei UI" w:hAnsi="Microsoft JhengHei UI"/>
            <w:color w:val="1155cc"/>
            <w:u w:val="single"/>
            <w:rtl w:val="0"/>
          </w:rPr>
          <w:t xml:space="preserve">membership terms</w:t>
        </w:r>
      </w:hyperlink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 as published on the website, please proceed with the application &amp; payment debit.</w:t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bottom w:color="000000" w:space="1" w:sz="12" w:val="single"/>
        </w:pBdr>
        <w:spacing w:after="0" w:line="240" w:lineRule="auto"/>
        <w:jc w:val="center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000000"/>
          <w:rtl w:val="0"/>
        </w:rPr>
        <w:t xml:space="preserve">Company Chop</w:t>
        <w:tab/>
        <w:tab/>
        <w:tab/>
        <w:t xml:space="preserve">Company Authorized Person’s Signature</w:t>
        <w:tab/>
        <w:tab/>
        <w:tab/>
        <w:t xml:space="preserve">Sign Date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icrosoft JhengHei UI" w:cs="Microsoft JhengHei UI" w:eastAsia="Microsoft JhengHei UI" w:hAnsi="Microsoft JhengHei U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95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 UI"/>
  <w:font w:name="Arial Black">
    <w:embedRegular w:fontKey="{00000000-0000-0000-0000-000000000000}" r:id="rId1" w:subsetted="0"/>
  </w:font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1223294" cy="73886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294" cy="7388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404040"/>
        <w:sz w:val="18"/>
        <w:szCs w:val="18"/>
        <w:lang w:val="en-US"/>
      </w:rPr>
    </w:rPrDefault>
    <w:pPrDefault>
      <w:pPr>
        <w:spacing w:after="1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600" w:line="240" w:lineRule="auto"/>
    </w:pPr>
    <w:rPr>
      <w:b w:val="1"/>
      <w:smallCaps w:val="1"/>
      <w:color w:val="1f4e7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1"/>
      <w:color w:val="5b9bd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left w:color="1f4e79" w:space="4" w:sz="18" w:val="single"/>
      </w:pBdr>
      <w:spacing w:after="0" w:line="420" w:lineRule="auto"/>
    </w:pPr>
    <w:rPr>
      <w:rFonts w:ascii="Arial Black" w:cs="Arial Black" w:eastAsia="Arial Black" w:hAnsi="Arial Black"/>
      <w:smallCaps w:val="1"/>
      <w:color w:val="1f4e79"/>
      <w:sz w:val="38"/>
      <w:szCs w:val="38"/>
    </w:rPr>
  </w:style>
  <w:style w:type="paragraph" w:styleId="Subtitle">
    <w:name w:val="Subtitle"/>
    <w:basedOn w:val="Normal"/>
    <w:next w:val="Normal"/>
    <w:pPr>
      <w:pBdr>
        <w:left w:color="1f4e79" w:space="4" w:sz="18" w:val="single"/>
      </w:pBdr>
      <w:spacing w:after="0" w:before="80" w:line="280" w:lineRule="auto"/>
    </w:pPr>
    <w:rPr>
      <w:b w:val="1"/>
      <w:color w:val="5b9bd5"/>
      <w:sz w:val="24"/>
      <w:szCs w:val="24"/>
    </w:rPr>
  </w:style>
  <w:style w:type="table" w:styleId="Table1">
    <w:basedOn w:val="TableNormal"/>
    <w:pPr>
      <w:spacing w:after="120" w:before="12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Vert">
      <w:pPr/>
      <w:rPr>
        <w:b w:val="1"/>
      </w:rPr>
      <w:tcPr>
        <w:shd w:fill="deebf6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keepNext w:val="1"/>
      </w:pPr>
      <w:rPr>
        <w:b w:val="1"/>
      </w:rPr>
      <w:tcPr>
        <w:shd w:fill="deebf6" w:val="clear"/>
        <w:tcMar>
          <w:top w:w="0.0" w:type="dxa"/>
          <w:left w:w="115.0" w:type="dxa"/>
          <w:bottom w:w="0.0" w:type="dxa"/>
          <w:right w:w="115.0" w:type="dxa"/>
        </w:tcMar>
        <w:vAlign w:val="bottom"/>
      </w:tcPr>
    </w:tblStylePr>
    <w:tblStylePr w:type="lastRow">
      <w:pPr/>
      <w:rPr>
        <w:b w:val="1"/>
        <w:color w:val="ffffff"/>
      </w:rPr>
      <w:tcPr>
        <w:shd w:fill="5b9bd5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>
      <w:spacing w:after="120" w:before="12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Vert">
      <w:pPr/>
      <w:rPr>
        <w:b w:val="1"/>
      </w:rPr>
      <w:tcPr>
        <w:shd w:fill="deebf6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keepNext w:val="1"/>
      </w:pPr>
      <w:rPr>
        <w:b w:val="1"/>
      </w:rPr>
      <w:tcPr>
        <w:shd w:fill="deebf6" w:val="clear"/>
        <w:tcMar>
          <w:top w:w="0.0" w:type="dxa"/>
          <w:left w:w="115.0" w:type="dxa"/>
          <w:bottom w:w="0.0" w:type="dxa"/>
          <w:right w:w="115.0" w:type="dxa"/>
        </w:tcMar>
        <w:vAlign w:val="bottom"/>
      </w:tcPr>
    </w:tblStylePr>
    <w:tblStylePr w:type="lastRow">
      <w:pPr/>
      <w:rPr>
        <w:b w:val="1"/>
        <w:color w:val="ffffff"/>
      </w:rPr>
      <w:tcPr>
        <w:shd w:fill="5b9bd5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d/1ywk9oWz-k_R-Rhwkv_0yuoleyI0R4Q_kbB-yOl_-PRM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wk9oWz-k_R-Rhwkv_0yuoleyI0R4Q_kbB-yOl_-PRM/edit?usp=sharing" TargetMode="External"/><Relationship Id="rId7" Type="http://schemas.openxmlformats.org/officeDocument/2006/relationships/hyperlink" Target="https://docs.google.com/document/d/1ywk9oWz-k_R-Rhwkv_0yuoleyI0R4Q_kbB-yOl_-PRM/edit?usp=sharing" TargetMode="External"/><Relationship Id="rId8" Type="http://schemas.openxmlformats.org/officeDocument/2006/relationships/hyperlink" Target="https://docs.google.com/document/d/1ywk9oWz-k_R-Rhwkv_0yuoleyI0R4Q_kbB-yOl_-PRM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